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C5C" w:rsidRDefault="00792C5C" w:rsidP="00792C5C">
      <w:pPr>
        <w:pStyle w:val="Default"/>
        <w:jc w:val="center"/>
        <w:rPr>
          <w:b/>
          <w:bCs/>
          <w:sz w:val="36"/>
          <w:szCs w:val="36"/>
        </w:rPr>
      </w:pPr>
      <w:r>
        <w:rPr>
          <w:b/>
          <w:bCs/>
          <w:sz w:val="36"/>
          <w:szCs w:val="36"/>
        </w:rPr>
        <w:t>EXERCICES FORMATIFS</w:t>
      </w:r>
    </w:p>
    <w:p w:rsidR="00792C5C" w:rsidRDefault="00792C5C" w:rsidP="00792C5C">
      <w:pPr>
        <w:pStyle w:val="Default"/>
        <w:jc w:val="center"/>
        <w:rPr>
          <w:b/>
          <w:bCs/>
          <w:sz w:val="36"/>
          <w:szCs w:val="36"/>
        </w:rPr>
      </w:pPr>
    </w:p>
    <w:p w:rsidR="00792C5C" w:rsidRPr="00792C5C" w:rsidRDefault="00792C5C" w:rsidP="00792C5C">
      <w:pPr>
        <w:pStyle w:val="Default"/>
        <w:jc w:val="center"/>
        <w:rPr>
          <w:b/>
          <w:bCs/>
          <w:sz w:val="36"/>
          <w:szCs w:val="36"/>
        </w:rPr>
      </w:pPr>
      <w:r>
        <w:rPr>
          <w:b/>
          <w:bCs/>
          <w:sz w:val="36"/>
          <w:szCs w:val="36"/>
        </w:rPr>
        <w:t>CHAPITRE 1</w:t>
      </w:r>
    </w:p>
    <w:p w:rsidR="00792C5C" w:rsidRDefault="00792C5C" w:rsidP="00792C5C">
      <w:pPr>
        <w:pStyle w:val="Default"/>
        <w:rPr>
          <w:b/>
          <w:bCs/>
          <w:sz w:val="23"/>
          <w:szCs w:val="23"/>
        </w:rPr>
      </w:pPr>
      <w:bookmarkStart w:id="0" w:name="_GoBack"/>
      <w:bookmarkEnd w:id="0"/>
    </w:p>
    <w:p w:rsidR="00792C5C" w:rsidRDefault="00792C5C" w:rsidP="008C1EAF">
      <w:pPr>
        <w:pStyle w:val="Default"/>
        <w:numPr>
          <w:ilvl w:val="0"/>
          <w:numId w:val="1"/>
        </w:numPr>
        <w:ind w:left="142" w:hanging="142"/>
        <w:rPr>
          <w:b/>
          <w:bCs/>
          <w:sz w:val="23"/>
          <w:szCs w:val="23"/>
        </w:rPr>
      </w:pPr>
      <w:r>
        <w:rPr>
          <w:b/>
          <w:bCs/>
          <w:sz w:val="23"/>
          <w:szCs w:val="23"/>
        </w:rPr>
        <w:t xml:space="preserve">Laquelle des affirmations suivantes est vraie? </w:t>
      </w:r>
    </w:p>
    <w:p w:rsidR="00B041EE" w:rsidRDefault="00B041EE" w:rsidP="00B041EE">
      <w:pPr>
        <w:pStyle w:val="Default"/>
        <w:ind w:left="720"/>
        <w:rPr>
          <w:sz w:val="23"/>
          <w:szCs w:val="23"/>
        </w:rPr>
      </w:pPr>
    </w:p>
    <w:p w:rsidR="00792C5C" w:rsidRPr="00792C5C" w:rsidRDefault="00792C5C" w:rsidP="00792C5C">
      <w:pPr>
        <w:pStyle w:val="Default"/>
        <w:spacing w:after="140"/>
        <w:rPr>
          <w:b/>
          <w:bCs/>
          <w:sz w:val="23"/>
          <w:szCs w:val="23"/>
        </w:rPr>
      </w:pPr>
      <w:r>
        <w:rPr>
          <w:b/>
          <w:bCs/>
          <w:sz w:val="23"/>
          <w:szCs w:val="23"/>
        </w:rPr>
        <w:t xml:space="preserve">a) </w:t>
      </w:r>
      <w:r w:rsidRPr="00792C5C">
        <w:rPr>
          <w:b/>
          <w:bCs/>
          <w:sz w:val="23"/>
          <w:szCs w:val="23"/>
        </w:rPr>
        <w:t xml:space="preserve">Le droit immobilier est de juridiction fédérale </w:t>
      </w:r>
    </w:p>
    <w:p w:rsidR="00792C5C" w:rsidRPr="00792C5C" w:rsidRDefault="00792C5C" w:rsidP="00792C5C">
      <w:pPr>
        <w:pStyle w:val="Default"/>
        <w:spacing w:after="140"/>
        <w:rPr>
          <w:b/>
          <w:bCs/>
          <w:sz w:val="23"/>
          <w:szCs w:val="23"/>
        </w:rPr>
      </w:pPr>
      <w:r w:rsidRPr="00792C5C">
        <w:rPr>
          <w:b/>
          <w:bCs/>
          <w:sz w:val="23"/>
          <w:szCs w:val="23"/>
        </w:rPr>
        <w:t xml:space="preserve">b) La principale source du droit dans le domaine du courtage immobilier est la Loi sur le courtage immobilier </w:t>
      </w:r>
    </w:p>
    <w:p w:rsidR="00792C5C" w:rsidRPr="00792C5C" w:rsidRDefault="00792C5C" w:rsidP="00792C5C">
      <w:pPr>
        <w:pStyle w:val="Default"/>
        <w:spacing w:after="140"/>
        <w:rPr>
          <w:b/>
          <w:bCs/>
          <w:sz w:val="23"/>
          <w:szCs w:val="23"/>
        </w:rPr>
      </w:pPr>
      <w:r w:rsidRPr="00792C5C">
        <w:rPr>
          <w:b/>
          <w:bCs/>
          <w:sz w:val="23"/>
          <w:szCs w:val="23"/>
        </w:rPr>
        <w:t xml:space="preserve">c) La Loi sur le courtage immobilier a pour principal objectif de protéger les courtiers et agents immobiliers </w:t>
      </w:r>
    </w:p>
    <w:p w:rsidR="00792C5C" w:rsidRDefault="00792C5C" w:rsidP="00792C5C">
      <w:pPr>
        <w:pStyle w:val="Default"/>
        <w:spacing w:after="140"/>
        <w:rPr>
          <w:b/>
          <w:bCs/>
          <w:sz w:val="23"/>
          <w:szCs w:val="23"/>
        </w:rPr>
      </w:pPr>
      <w:r w:rsidRPr="00792C5C">
        <w:rPr>
          <w:b/>
          <w:bCs/>
          <w:sz w:val="23"/>
          <w:szCs w:val="23"/>
        </w:rPr>
        <w:t xml:space="preserve">d) La Loi sur le courtage immobilier est d’ordre privé </w:t>
      </w:r>
    </w:p>
    <w:p w:rsidR="00B041EE" w:rsidRPr="00B041EE" w:rsidRDefault="00B041EE" w:rsidP="00792C5C">
      <w:pPr>
        <w:pStyle w:val="Default"/>
        <w:spacing w:after="140"/>
        <w:rPr>
          <w:sz w:val="23"/>
          <w:szCs w:val="23"/>
        </w:rPr>
      </w:pPr>
      <w:r w:rsidRPr="00B041EE">
        <w:rPr>
          <w:sz w:val="23"/>
          <w:szCs w:val="23"/>
        </w:rPr>
        <w:t>Réponse : b)</w:t>
      </w:r>
    </w:p>
    <w:p w:rsidR="00792C5C" w:rsidRDefault="00792C5C" w:rsidP="00792C5C">
      <w:pPr>
        <w:pStyle w:val="Default"/>
        <w:rPr>
          <w:b/>
          <w:bCs/>
          <w:sz w:val="23"/>
          <w:szCs w:val="23"/>
        </w:rPr>
      </w:pPr>
      <w:r>
        <w:rPr>
          <w:b/>
          <w:bCs/>
          <w:sz w:val="23"/>
          <w:szCs w:val="23"/>
        </w:rPr>
        <w:t xml:space="preserve">2. La Loi sur le courtage immobilier est d’ordre public. Expliquez cette notion et donnez un exemple autre que celui énoncé dans le manuel de l’application de ce principe que l’on retrouve dans cette Loi. </w:t>
      </w:r>
    </w:p>
    <w:p w:rsidR="00792C5C" w:rsidRDefault="00792C5C" w:rsidP="00792C5C">
      <w:pPr>
        <w:pStyle w:val="Default"/>
      </w:pPr>
    </w:p>
    <w:p w:rsidR="00B041EE" w:rsidRDefault="00B041EE" w:rsidP="00792C5C">
      <w:pPr>
        <w:pStyle w:val="Default"/>
      </w:pPr>
      <w:r>
        <w:t>Réponse : Cela signifie que la Loi a été adopté pour protéger le public.  Par conséquent, il serait interdit que les parties à un contrat de contrat de courtage s’entendent sur une clause de renouvellement automatique de celui-ci même si cela est interdit.</w:t>
      </w:r>
    </w:p>
    <w:p w:rsidR="00B041EE" w:rsidRDefault="00B041EE" w:rsidP="00792C5C">
      <w:pPr>
        <w:pStyle w:val="Default"/>
      </w:pPr>
    </w:p>
    <w:p w:rsidR="00792C5C" w:rsidRDefault="00792C5C" w:rsidP="00792C5C">
      <w:pPr>
        <w:pStyle w:val="Default"/>
        <w:rPr>
          <w:b/>
          <w:bCs/>
          <w:sz w:val="23"/>
          <w:szCs w:val="23"/>
        </w:rPr>
      </w:pPr>
      <w:r>
        <w:rPr>
          <w:b/>
          <w:bCs/>
          <w:sz w:val="23"/>
          <w:szCs w:val="23"/>
        </w:rPr>
        <w:t xml:space="preserve">3. Quel est le but principal visé par la Loi sur le courtage immobilier? </w:t>
      </w:r>
    </w:p>
    <w:p w:rsidR="00B041EE" w:rsidRDefault="00B041EE" w:rsidP="00792C5C">
      <w:pPr>
        <w:pStyle w:val="Default"/>
        <w:rPr>
          <w:b/>
          <w:bCs/>
          <w:sz w:val="23"/>
          <w:szCs w:val="23"/>
        </w:rPr>
      </w:pPr>
    </w:p>
    <w:p w:rsidR="00B041EE" w:rsidRPr="00B041EE" w:rsidRDefault="00B041EE" w:rsidP="00792C5C">
      <w:pPr>
        <w:pStyle w:val="Default"/>
        <w:rPr>
          <w:sz w:val="23"/>
          <w:szCs w:val="23"/>
        </w:rPr>
      </w:pPr>
      <w:r>
        <w:rPr>
          <w:sz w:val="23"/>
          <w:szCs w:val="23"/>
        </w:rPr>
        <w:t>Réponse : protéger le public</w:t>
      </w:r>
    </w:p>
    <w:p w:rsidR="00792C5C" w:rsidRDefault="00792C5C" w:rsidP="00792C5C">
      <w:pPr>
        <w:pStyle w:val="Default"/>
        <w:rPr>
          <w:b/>
          <w:bCs/>
          <w:sz w:val="23"/>
          <w:szCs w:val="23"/>
        </w:rPr>
      </w:pPr>
    </w:p>
    <w:p w:rsidR="00792C5C" w:rsidRDefault="00792C5C" w:rsidP="00792C5C">
      <w:pPr>
        <w:pStyle w:val="Default"/>
        <w:ind w:left="284" w:hanging="284"/>
        <w:rPr>
          <w:b/>
          <w:bCs/>
          <w:sz w:val="23"/>
          <w:szCs w:val="23"/>
        </w:rPr>
      </w:pPr>
      <w:r>
        <w:rPr>
          <w:b/>
          <w:bCs/>
          <w:sz w:val="23"/>
          <w:szCs w:val="23"/>
        </w:rPr>
        <w:t>4.</w:t>
      </w:r>
      <w:r w:rsidRPr="00792C5C">
        <w:t xml:space="preserve"> </w:t>
      </w:r>
      <w:r>
        <w:t xml:space="preserve"> </w:t>
      </w:r>
      <w:r>
        <w:rPr>
          <w:b/>
          <w:bCs/>
          <w:sz w:val="23"/>
          <w:szCs w:val="23"/>
        </w:rPr>
        <w:t xml:space="preserve">En quoi consiste un règlement et qu’est-ce qui le différencie d’une loi quant à son adoption? </w:t>
      </w:r>
    </w:p>
    <w:p w:rsidR="00B041EE" w:rsidRDefault="00B041EE" w:rsidP="00B041EE">
      <w:pPr>
        <w:pStyle w:val="Default"/>
        <w:rPr>
          <w:b/>
          <w:bCs/>
          <w:sz w:val="23"/>
          <w:szCs w:val="23"/>
        </w:rPr>
      </w:pPr>
    </w:p>
    <w:p w:rsidR="00B041EE" w:rsidRPr="00B041EE" w:rsidRDefault="00B041EE" w:rsidP="00B041EE">
      <w:pPr>
        <w:pStyle w:val="Default"/>
      </w:pPr>
      <w:r>
        <w:rPr>
          <w:sz w:val="23"/>
          <w:szCs w:val="23"/>
        </w:rPr>
        <w:t xml:space="preserve">Réponse : La Loi est adopté par le législateur alors que le règlement est adopté </w:t>
      </w:r>
      <w:proofErr w:type="gramStart"/>
      <w:r>
        <w:rPr>
          <w:sz w:val="23"/>
          <w:szCs w:val="23"/>
        </w:rPr>
        <w:t>par  l’autorité</w:t>
      </w:r>
      <w:proofErr w:type="gramEnd"/>
      <w:r>
        <w:rPr>
          <w:sz w:val="23"/>
          <w:szCs w:val="23"/>
        </w:rPr>
        <w:t xml:space="preserve"> désignée dans une Loi à qui celle-ci donne le pouvoir d’adopter un règlement..</w:t>
      </w:r>
    </w:p>
    <w:p w:rsidR="00792C5C" w:rsidRPr="00792C5C" w:rsidRDefault="00792C5C" w:rsidP="00792C5C">
      <w:pPr>
        <w:pStyle w:val="Default"/>
        <w:ind w:left="284" w:hanging="284"/>
      </w:pPr>
    </w:p>
    <w:p w:rsidR="00792C5C" w:rsidRDefault="00792C5C" w:rsidP="00792C5C">
      <w:pPr>
        <w:pStyle w:val="Default"/>
        <w:rPr>
          <w:b/>
          <w:bCs/>
          <w:sz w:val="23"/>
          <w:szCs w:val="23"/>
        </w:rPr>
      </w:pPr>
      <w:r w:rsidRPr="00792C5C">
        <w:rPr>
          <w:b/>
          <w:bCs/>
        </w:rPr>
        <w:t>5.</w:t>
      </w:r>
      <w:r>
        <w:t xml:space="preserve"> </w:t>
      </w:r>
      <w:r>
        <w:rPr>
          <w:b/>
          <w:bCs/>
          <w:sz w:val="23"/>
          <w:szCs w:val="23"/>
        </w:rPr>
        <w:t>En matière de courtage immobilier, de quoi découle le pouvoir d’adopter les règlements?</w:t>
      </w:r>
    </w:p>
    <w:p w:rsidR="00792C5C" w:rsidRDefault="00792C5C" w:rsidP="00792C5C">
      <w:pPr>
        <w:autoSpaceDE w:val="0"/>
        <w:autoSpaceDN w:val="0"/>
        <w:adjustRightInd w:val="0"/>
        <w:spacing w:after="0" w:line="240" w:lineRule="auto"/>
        <w:rPr>
          <w:rFonts w:ascii="Cambria" w:hAnsi="Cambria"/>
          <w:sz w:val="24"/>
          <w:szCs w:val="24"/>
        </w:rPr>
      </w:pPr>
    </w:p>
    <w:p w:rsidR="00B041EE" w:rsidRDefault="00B041EE" w:rsidP="00792C5C">
      <w:pPr>
        <w:autoSpaceDE w:val="0"/>
        <w:autoSpaceDN w:val="0"/>
        <w:adjustRightInd w:val="0"/>
        <w:spacing w:after="0" w:line="240" w:lineRule="auto"/>
        <w:rPr>
          <w:rFonts w:ascii="Cambria" w:hAnsi="Cambria"/>
          <w:sz w:val="24"/>
          <w:szCs w:val="24"/>
        </w:rPr>
      </w:pPr>
      <w:r>
        <w:rPr>
          <w:rFonts w:ascii="Cambria" w:hAnsi="Cambria"/>
          <w:sz w:val="24"/>
          <w:szCs w:val="24"/>
        </w:rPr>
        <w:t>Réponse : de la Loi sur le courtage immobilier.</w:t>
      </w:r>
    </w:p>
    <w:p w:rsidR="00B041EE" w:rsidRPr="00792C5C" w:rsidRDefault="00B041EE" w:rsidP="00792C5C">
      <w:pPr>
        <w:autoSpaceDE w:val="0"/>
        <w:autoSpaceDN w:val="0"/>
        <w:adjustRightInd w:val="0"/>
        <w:spacing w:after="0" w:line="240" w:lineRule="auto"/>
        <w:rPr>
          <w:rFonts w:ascii="Cambria" w:hAnsi="Cambria"/>
          <w:sz w:val="24"/>
          <w:szCs w:val="24"/>
        </w:rPr>
      </w:pPr>
    </w:p>
    <w:p w:rsidR="00792C5C" w:rsidRDefault="00792C5C" w:rsidP="00792C5C">
      <w:pPr>
        <w:autoSpaceDE w:val="0"/>
        <w:autoSpaceDN w:val="0"/>
        <w:adjustRightInd w:val="0"/>
        <w:spacing w:after="0" w:line="240" w:lineRule="auto"/>
        <w:rPr>
          <w:rFonts w:ascii="Arial" w:hAnsi="Arial" w:cs="Arial"/>
          <w:b/>
          <w:bCs/>
          <w:sz w:val="23"/>
          <w:szCs w:val="23"/>
        </w:rPr>
      </w:pPr>
      <w:r w:rsidRPr="00792C5C">
        <w:rPr>
          <w:rFonts w:ascii="Arial" w:hAnsi="Arial" w:cs="Arial"/>
          <w:b/>
          <w:bCs/>
          <w:sz w:val="23"/>
          <w:szCs w:val="23"/>
        </w:rPr>
        <w:t xml:space="preserve">6. Qui a adopté les règlements précisant les modalités d’application de la Loi sur le courtage immobilier? </w:t>
      </w:r>
    </w:p>
    <w:p w:rsidR="00B041EE" w:rsidRDefault="00B041EE" w:rsidP="00792C5C">
      <w:pPr>
        <w:autoSpaceDE w:val="0"/>
        <w:autoSpaceDN w:val="0"/>
        <w:adjustRightInd w:val="0"/>
        <w:spacing w:after="0" w:line="240" w:lineRule="auto"/>
        <w:rPr>
          <w:rFonts w:ascii="Arial" w:hAnsi="Arial" w:cs="Arial"/>
          <w:b/>
          <w:bCs/>
          <w:sz w:val="23"/>
          <w:szCs w:val="23"/>
        </w:rPr>
      </w:pPr>
    </w:p>
    <w:p w:rsidR="00B041EE" w:rsidRPr="00792C5C" w:rsidRDefault="00B041EE" w:rsidP="00792C5C">
      <w:pPr>
        <w:autoSpaceDE w:val="0"/>
        <w:autoSpaceDN w:val="0"/>
        <w:adjustRightInd w:val="0"/>
        <w:spacing w:after="0" w:line="240" w:lineRule="auto"/>
        <w:rPr>
          <w:rFonts w:ascii="Cambria" w:hAnsi="Cambria" w:cs="Cambria"/>
          <w:sz w:val="23"/>
          <w:szCs w:val="23"/>
        </w:rPr>
      </w:pPr>
      <w:r>
        <w:rPr>
          <w:rFonts w:ascii="Arial" w:hAnsi="Arial" w:cs="Arial"/>
          <w:b/>
          <w:bCs/>
          <w:sz w:val="23"/>
          <w:szCs w:val="23"/>
        </w:rPr>
        <w:t>Réponse :</w:t>
      </w:r>
      <w:r w:rsidRPr="00B041EE">
        <w:rPr>
          <w:rFonts w:ascii="Arial" w:hAnsi="Arial" w:cs="Arial"/>
          <w:sz w:val="23"/>
          <w:szCs w:val="23"/>
        </w:rPr>
        <w:t xml:space="preserve"> </w:t>
      </w:r>
      <w:r>
        <w:rPr>
          <w:rFonts w:ascii="Arial" w:hAnsi="Arial" w:cs="Arial"/>
          <w:sz w:val="23"/>
          <w:szCs w:val="23"/>
        </w:rPr>
        <w:t>l</w:t>
      </w:r>
      <w:r w:rsidRPr="00B041EE">
        <w:rPr>
          <w:rFonts w:ascii="Arial" w:hAnsi="Arial" w:cs="Arial"/>
          <w:sz w:val="23"/>
          <w:szCs w:val="23"/>
        </w:rPr>
        <w:t>’OACIQ</w:t>
      </w:r>
    </w:p>
    <w:p w:rsidR="00792C5C" w:rsidRPr="00792C5C" w:rsidRDefault="00792C5C" w:rsidP="00792C5C">
      <w:pPr>
        <w:pStyle w:val="Default"/>
        <w:rPr>
          <w:sz w:val="23"/>
          <w:szCs w:val="23"/>
        </w:rPr>
      </w:pPr>
    </w:p>
    <w:p w:rsidR="00792C5C" w:rsidRDefault="00792C5C" w:rsidP="00792C5C">
      <w:pPr>
        <w:pStyle w:val="Default"/>
        <w:rPr>
          <w:b/>
          <w:bCs/>
          <w:sz w:val="23"/>
          <w:szCs w:val="23"/>
        </w:rPr>
      </w:pPr>
      <w:r>
        <w:rPr>
          <w:sz w:val="23"/>
          <w:szCs w:val="23"/>
        </w:rPr>
        <w:t xml:space="preserve">7. </w:t>
      </w:r>
      <w:r>
        <w:rPr>
          <w:b/>
          <w:bCs/>
          <w:sz w:val="23"/>
          <w:szCs w:val="23"/>
        </w:rPr>
        <w:t xml:space="preserve">À quelle formalité est soumis en général un règlement adopté par l’OACIQ avant de pouvoir être mis en vigueur? </w:t>
      </w:r>
    </w:p>
    <w:p w:rsidR="00B041EE" w:rsidRDefault="00B041EE" w:rsidP="00792C5C">
      <w:pPr>
        <w:pStyle w:val="Default"/>
        <w:rPr>
          <w:b/>
          <w:bCs/>
          <w:sz w:val="23"/>
          <w:szCs w:val="23"/>
        </w:rPr>
      </w:pPr>
    </w:p>
    <w:p w:rsidR="00B041EE" w:rsidRPr="00B041EE" w:rsidRDefault="00B041EE" w:rsidP="00792C5C">
      <w:pPr>
        <w:pStyle w:val="Default"/>
        <w:rPr>
          <w:sz w:val="23"/>
          <w:szCs w:val="23"/>
        </w:rPr>
      </w:pPr>
      <w:r w:rsidRPr="00B041EE">
        <w:rPr>
          <w:sz w:val="23"/>
          <w:szCs w:val="23"/>
        </w:rPr>
        <w:t>Réponse : à l’approbation du gouvernement du Québec</w:t>
      </w:r>
    </w:p>
    <w:p w:rsidR="00792C5C" w:rsidRDefault="00792C5C" w:rsidP="00792C5C">
      <w:pPr>
        <w:pStyle w:val="Default"/>
        <w:rPr>
          <w:sz w:val="23"/>
          <w:szCs w:val="23"/>
        </w:rPr>
      </w:pPr>
    </w:p>
    <w:p w:rsidR="00792C5C" w:rsidRDefault="00792C5C" w:rsidP="00792C5C">
      <w:pPr>
        <w:pStyle w:val="Default"/>
        <w:rPr>
          <w:b/>
          <w:bCs/>
          <w:sz w:val="23"/>
          <w:szCs w:val="23"/>
        </w:rPr>
      </w:pPr>
      <w:r>
        <w:rPr>
          <w:b/>
          <w:bCs/>
          <w:sz w:val="23"/>
          <w:szCs w:val="23"/>
        </w:rPr>
        <w:t xml:space="preserve">8. Est-ce que cette formalité s’applique à tous les règlements adoptés par l’OACIQ? Expliquez votre réponse. </w:t>
      </w:r>
    </w:p>
    <w:p w:rsidR="00B041EE" w:rsidRDefault="00B041EE" w:rsidP="00792C5C">
      <w:pPr>
        <w:pStyle w:val="Default"/>
        <w:rPr>
          <w:b/>
          <w:bCs/>
          <w:sz w:val="23"/>
          <w:szCs w:val="23"/>
        </w:rPr>
      </w:pPr>
    </w:p>
    <w:p w:rsidR="00B041EE" w:rsidRDefault="00B041EE" w:rsidP="00792C5C">
      <w:pPr>
        <w:pStyle w:val="Default"/>
        <w:rPr>
          <w:sz w:val="23"/>
          <w:szCs w:val="23"/>
        </w:rPr>
      </w:pPr>
      <w:r w:rsidRPr="00B041EE">
        <w:rPr>
          <w:sz w:val="23"/>
          <w:szCs w:val="23"/>
        </w:rPr>
        <w:t>Réponse : non, le règlement intérieur de l’OACIQ n’est pas soumis à cette approbation.</w:t>
      </w:r>
    </w:p>
    <w:p w:rsidR="00B041EE" w:rsidRPr="00B041EE" w:rsidRDefault="00B041EE" w:rsidP="00792C5C">
      <w:pPr>
        <w:pStyle w:val="Default"/>
      </w:pPr>
    </w:p>
    <w:p w:rsidR="00792C5C" w:rsidRDefault="00792C5C" w:rsidP="00792C5C">
      <w:pPr>
        <w:pStyle w:val="Default"/>
        <w:rPr>
          <w:sz w:val="23"/>
          <w:szCs w:val="23"/>
        </w:rPr>
      </w:pPr>
    </w:p>
    <w:p w:rsidR="00792C5C" w:rsidRDefault="00792C5C" w:rsidP="00792C5C">
      <w:pPr>
        <w:pStyle w:val="Default"/>
        <w:rPr>
          <w:b/>
          <w:bCs/>
          <w:sz w:val="23"/>
          <w:szCs w:val="23"/>
        </w:rPr>
      </w:pPr>
      <w:r>
        <w:rPr>
          <w:b/>
          <w:bCs/>
          <w:sz w:val="23"/>
          <w:szCs w:val="23"/>
        </w:rPr>
        <w:lastRenderedPageBreak/>
        <w:t xml:space="preserve">9. </w:t>
      </w:r>
      <w:r w:rsidRPr="00792C5C">
        <w:rPr>
          <w:b/>
          <w:bCs/>
          <w:sz w:val="23"/>
          <w:szCs w:val="23"/>
        </w:rPr>
        <w:t>Quel est le but général fixé par le règlement portant sur les mesures transitoires pour l’application de la Loi sur le courtage immobilier?</w:t>
      </w:r>
    </w:p>
    <w:p w:rsidR="00B041EE" w:rsidRDefault="00B041EE" w:rsidP="00792C5C">
      <w:pPr>
        <w:pStyle w:val="Default"/>
        <w:rPr>
          <w:b/>
          <w:bCs/>
          <w:sz w:val="23"/>
          <w:szCs w:val="23"/>
        </w:rPr>
      </w:pPr>
    </w:p>
    <w:p w:rsidR="00B041EE" w:rsidRPr="00B041EE" w:rsidRDefault="00B041EE" w:rsidP="00792C5C">
      <w:pPr>
        <w:pStyle w:val="Default"/>
        <w:rPr>
          <w:sz w:val="23"/>
          <w:szCs w:val="23"/>
        </w:rPr>
      </w:pPr>
      <w:r>
        <w:rPr>
          <w:sz w:val="23"/>
          <w:szCs w:val="23"/>
        </w:rPr>
        <w:t>Réponse : préciser comment une nouvelle Loi va s’appliquer aux situations ayant pris naissance avant son adoption.</w:t>
      </w:r>
    </w:p>
    <w:p w:rsidR="00792C5C" w:rsidRDefault="00792C5C" w:rsidP="00792C5C">
      <w:pPr>
        <w:pStyle w:val="Default"/>
        <w:rPr>
          <w:b/>
          <w:bCs/>
          <w:sz w:val="23"/>
          <w:szCs w:val="23"/>
        </w:rPr>
      </w:pPr>
    </w:p>
    <w:p w:rsidR="00792C5C" w:rsidRDefault="00792C5C" w:rsidP="00792C5C">
      <w:pPr>
        <w:pStyle w:val="Default"/>
        <w:ind w:left="142" w:hanging="426"/>
        <w:rPr>
          <w:b/>
          <w:bCs/>
          <w:sz w:val="23"/>
          <w:szCs w:val="23"/>
        </w:rPr>
      </w:pPr>
      <w:r>
        <w:rPr>
          <w:b/>
          <w:bCs/>
          <w:sz w:val="23"/>
          <w:szCs w:val="23"/>
        </w:rPr>
        <w:t>10.</w:t>
      </w:r>
      <w:r w:rsidRPr="00792C5C">
        <w:rPr>
          <w:b/>
          <w:bCs/>
          <w:color w:val="874A1D"/>
        </w:rPr>
        <w:t xml:space="preserve"> </w:t>
      </w:r>
      <w:r w:rsidRPr="00792C5C">
        <w:rPr>
          <w:b/>
          <w:bCs/>
          <w:sz w:val="23"/>
          <w:szCs w:val="23"/>
        </w:rPr>
        <w:t>Quelle est la mission principale de l’OACIQ? En quoi, les campagnes de publicité de l’OACIQ pour encourager le public à faire affaire avec un courtier immobilier découlent-elles de cette mission ?</w:t>
      </w:r>
    </w:p>
    <w:p w:rsidR="008C1EAF" w:rsidRDefault="008C1EAF" w:rsidP="00792C5C">
      <w:pPr>
        <w:pStyle w:val="Default"/>
        <w:ind w:left="142" w:hanging="426"/>
        <w:rPr>
          <w:b/>
          <w:bCs/>
          <w:sz w:val="23"/>
          <w:szCs w:val="23"/>
        </w:rPr>
      </w:pPr>
      <w:r>
        <w:rPr>
          <w:b/>
          <w:bCs/>
          <w:sz w:val="23"/>
          <w:szCs w:val="23"/>
        </w:rPr>
        <w:tab/>
      </w:r>
    </w:p>
    <w:p w:rsidR="008C1EAF" w:rsidRPr="008C1EAF" w:rsidRDefault="008C1EAF" w:rsidP="008C1EAF">
      <w:pPr>
        <w:pStyle w:val="Default"/>
        <w:ind w:left="142"/>
        <w:rPr>
          <w:sz w:val="23"/>
          <w:szCs w:val="23"/>
        </w:rPr>
      </w:pPr>
      <w:r w:rsidRPr="008C1EAF">
        <w:rPr>
          <w:sz w:val="23"/>
          <w:szCs w:val="23"/>
        </w:rPr>
        <w:t>Réponse :</w:t>
      </w:r>
      <w:r>
        <w:rPr>
          <w:sz w:val="23"/>
          <w:szCs w:val="23"/>
        </w:rPr>
        <w:t xml:space="preserve"> parce que ces campagnes de publicité de l’OACIQ ont pour principal objectif d’inciter le public de faire affaire avec un courtier immobilier détenant un permis dans leurs transactions immobilières car il sera alors mieux protégé.</w:t>
      </w:r>
    </w:p>
    <w:p w:rsidR="00B041EE" w:rsidRDefault="00B041EE" w:rsidP="00B041EE">
      <w:pPr>
        <w:ind w:left="142"/>
        <w:rPr>
          <w:b/>
          <w:bCs/>
        </w:rPr>
      </w:pPr>
    </w:p>
    <w:p w:rsidR="00B041EE" w:rsidRPr="00B041EE" w:rsidRDefault="00B041EE" w:rsidP="00B041EE">
      <w:pPr>
        <w:ind w:left="142"/>
        <w:rPr>
          <w:b/>
          <w:bCs/>
        </w:rPr>
      </w:pPr>
    </w:p>
    <w:sectPr w:rsidR="00B041EE" w:rsidRPr="00B041EE" w:rsidSect="00C21902">
      <w:pgSz w:w="12242" w:h="16342"/>
      <w:pgMar w:top="1141" w:right="841" w:bottom="0" w:left="116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5778D"/>
    <w:multiLevelType w:val="hybridMultilevel"/>
    <w:tmpl w:val="52840CD6"/>
    <w:lvl w:ilvl="0" w:tplc="0C0C000F">
      <w:start w:val="1"/>
      <w:numFmt w:val="decimal"/>
      <w:lvlText w:val="%1."/>
      <w:lvlJc w:val="left"/>
      <w:pPr>
        <w:ind w:left="1070" w:hanging="360"/>
      </w:pPr>
      <w:rPr>
        <w:rFonts w:hint="default"/>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5C"/>
    <w:rsid w:val="000E6FEF"/>
    <w:rsid w:val="00792C5C"/>
    <w:rsid w:val="008C1EAF"/>
    <w:rsid w:val="00B041E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7503"/>
  <w15:chartTrackingRefBased/>
  <w15:docId w15:val="{89E47975-4D4B-4C0D-AF12-7BAA18B9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92C5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402</Words>
  <Characters>2214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2021-01-23T16:02:00Z</dcterms:created>
  <dcterms:modified xsi:type="dcterms:W3CDTF">2021-01-24T12:59:00Z</dcterms:modified>
</cp:coreProperties>
</file>